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7D9" w:rsidRPr="005127D9" w:rsidRDefault="005127D9" w:rsidP="005127D9">
      <w:pPr>
        <w:pStyle w:val="Default"/>
        <w:jc w:val="both"/>
        <w:rPr>
          <w:b/>
          <w:bCs/>
          <w:sz w:val="28"/>
          <w:szCs w:val="28"/>
        </w:rPr>
      </w:pPr>
      <w:r w:rsidRPr="005127D9">
        <w:rPr>
          <w:b/>
          <w:bCs/>
          <w:sz w:val="28"/>
          <w:szCs w:val="28"/>
        </w:rPr>
        <w:t>1.5 «Изучение горного компаса.</w:t>
      </w:r>
      <w:r w:rsidRPr="005127D9">
        <w:rPr>
          <w:b/>
          <w:bCs/>
          <w:sz w:val="28"/>
          <w:szCs w:val="28"/>
        </w:rPr>
        <w:t xml:space="preserve"> </w:t>
      </w:r>
      <w:r w:rsidRPr="005127D9">
        <w:rPr>
          <w:b/>
          <w:bCs/>
          <w:sz w:val="28"/>
          <w:szCs w:val="28"/>
        </w:rPr>
        <w:t>Чтение геологических карт. Построение геологического разреза</w:t>
      </w:r>
      <w:r w:rsidRPr="005127D9">
        <w:rPr>
          <w:b/>
          <w:bCs/>
          <w:sz w:val="28"/>
          <w:szCs w:val="28"/>
        </w:rPr>
        <w:t xml:space="preserve"> </w:t>
      </w:r>
      <w:r w:rsidRPr="005127D9">
        <w:rPr>
          <w:b/>
          <w:bCs/>
          <w:sz w:val="28"/>
          <w:szCs w:val="28"/>
        </w:rPr>
        <w:t xml:space="preserve">» </w:t>
      </w:r>
    </w:p>
    <w:p w:rsidR="005127D9" w:rsidRPr="005127D9" w:rsidRDefault="005127D9" w:rsidP="005127D9">
      <w:pPr>
        <w:pStyle w:val="Default"/>
        <w:jc w:val="both"/>
        <w:rPr>
          <w:b/>
          <w:bCs/>
          <w:sz w:val="28"/>
          <w:szCs w:val="28"/>
        </w:rPr>
      </w:pPr>
    </w:p>
    <w:p w:rsidR="005127D9" w:rsidRPr="005127D9" w:rsidRDefault="005127D9" w:rsidP="005127D9">
      <w:pPr>
        <w:pStyle w:val="Default"/>
        <w:jc w:val="both"/>
        <w:rPr>
          <w:sz w:val="28"/>
          <w:szCs w:val="28"/>
        </w:rPr>
      </w:pPr>
      <w:r w:rsidRPr="005127D9">
        <w:rPr>
          <w:sz w:val="28"/>
          <w:szCs w:val="28"/>
        </w:rPr>
        <w:t xml:space="preserve">1.5.1 Определение элементов залегания </w:t>
      </w:r>
    </w:p>
    <w:p w:rsidR="005127D9" w:rsidRPr="005127D9" w:rsidRDefault="005127D9" w:rsidP="005127D9">
      <w:pPr>
        <w:pStyle w:val="Default"/>
        <w:jc w:val="both"/>
        <w:rPr>
          <w:sz w:val="28"/>
          <w:szCs w:val="28"/>
        </w:rPr>
      </w:pPr>
      <w:r w:rsidRPr="005127D9">
        <w:rPr>
          <w:i/>
          <w:iCs/>
          <w:sz w:val="28"/>
          <w:szCs w:val="28"/>
        </w:rPr>
        <w:t xml:space="preserve">Азимут </w:t>
      </w:r>
      <w:r w:rsidRPr="005127D9">
        <w:rPr>
          <w:sz w:val="28"/>
          <w:szCs w:val="28"/>
        </w:rPr>
        <w:t xml:space="preserve">- угол между направлением на север и направлением на предмет, отсчитанный в градусах по часовой стрелке. Азимуты направлений измеряют горным компасом (рисунок 1). От обычного компаса, кроме приспособления для измерения вертикальных углов (отвес), горный компас отличается наличием уровня и тем, что его лимб градуирован не по часовой стрелке, а против, т.е. Восток на лимбе горного компаса расположен слева, а Запад справа. Это связано с принципиально иным методом определения азимутов по сравнению с обычным компасом. </w:t>
      </w:r>
    </w:p>
    <w:p w:rsidR="005127D9" w:rsidRPr="005127D9" w:rsidRDefault="005127D9" w:rsidP="005127D9">
      <w:pPr>
        <w:pStyle w:val="Default"/>
        <w:jc w:val="center"/>
        <w:rPr>
          <w:sz w:val="28"/>
          <w:szCs w:val="28"/>
        </w:rPr>
      </w:pPr>
      <w:r w:rsidRPr="005127D9">
        <w:rPr>
          <w:noProof/>
          <w:sz w:val="28"/>
          <w:szCs w:val="28"/>
          <w:lang w:eastAsia="ru-RU"/>
        </w:rPr>
        <w:drawing>
          <wp:inline distT="0" distB="0" distL="0" distR="0" wp14:anchorId="6CE7D3D4" wp14:editId="14B66F98">
            <wp:extent cx="2879725" cy="37528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79725" cy="3752850"/>
                    </a:xfrm>
                    <a:prstGeom prst="rect">
                      <a:avLst/>
                    </a:prstGeom>
                    <a:noFill/>
                    <a:ln>
                      <a:noFill/>
                    </a:ln>
                  </pic:spPr>
                </pic:pic>
              </a:graphicData>
            </a:graphic>
          </wp:inline>
        </w:drawing>
      </w:r>
    </w:p>
    <w:p w:rsidR="005127D9" w:rsidRPr="005127D9" w:rsidRDefault="005127D9" w:rsidP="005127D9">
      <w:pPr>
        <w:pStyle w:val="Default"/>
        <w:jc w:val="both"/>
        <w:rPr>
          <w:sz w:val="28"/>
          <w:szCs w:val="28"/>
        </w:rPr>
      </w:pPr>
      <w:r w:rsidRPr="005127D9">
        <w:rPr>
          <w:sz w:val="28"/>
          <w:szCs w:val="28"/>
        </w:rPr>
        <w:t xml:space="preserve">1 -основание; 2 - лимб круга; 3- магнитная стрелка; 4 - острие, на котором вращается магнитная стрелка; 5 - зажимный винт магнитной стрелки; 6 - отвес; 7 - лимб отвеса; 8 - зажим отвеса; 9 - северный конец магнитной стрелки </w:t>
      </w:r>
    </w:p>
    <w:p w:rsidR="005127D9" w:rsidRPr="005127D9" w:rsidRDefault="005127D9" w:rsidP="005127D9">
      <w:pPr>
        <w:pStyle w:val="Default"/>
        <w:jc w:val="center"/>
        <w:rPr>
          <w:sz w:val="28"/>
          <w:szCs w:val="28"/>
        </w:rPr>
      </w:pPr>
      <w:r w:rsidRPr="005127D9">
        <w:rPr>
          <w:sz w:val="28"/>
          <w:szCs w:val="28"/>
        </w:rPr>
        <w:t>Рисунок 1. Горный компас</w:t>
      </w:r>
    </w:p>
    <w:p w:rsidR="005127D9" w:rsidRPr="005127D9" w:rsidRDefault="005127D9" w:rsidP="005127D9">
      <w:pPr>
        <w:pStyle w:val="Default"/>
        <w:jc w:val="both"/>
        <w:rPr>
          <w:sz w:val="28"/>
          <w:szCs w:val="28"/>
        </w:rPr>
      </w:pPr>
    </w:p>
    <w:p w:rsidR="005127D9" w:rsidRPr="005127D9" w:rsidRDefault="005127D9" w:rsidP="005127D9">
      <w:pPr>
        <w:pStyle w:val="Default"/>
        <w:jc w:val="both"/>
        <w:rPr>
          <w:sz w:val="28"/>
          <w:szCs w:val="28"/>
        </w:rPr>
      </w:pPr>
      <w:r w:rsidRPr="005127D9">
        <w:rPr>
          <w:sz w:val="28"/>
          <w:szCs w:val="28"/>
        </w:rPr>
        <w:t>Положение пластов горных пород в пространстве характеризуют с помощью элементов залегания: линии простирания, линии падения и</w:t>
      </w:r>
      <w:r w:rsidRPr="005127D9">
        <w:rPr>
          <w:sz w:val="28"/>
          <w:szCs w:val="28"/>
        </w:rPr>
        <w:t xml:space="preserve"> угла </w:t>
      </w:r>
      <w:r w:rsidRPr="005127D9">
        <w:rPr>
          <w:sz w:val="28"/>
          <w:szCs w:val="28"/>
        </w:rPr>
        <w:t xml:space="preserve">падения (рисунок 2). При полевых наблюдениях горным компасом измеряют азимуты этих линий и величины углов падения слоев. </w:t>
      </w:r>
      <w:r w:rsidRPr="005127D9">
        <w:rPr>
          <w:i/>
          <w:iCs/>
          <w:sz w:val="28"/>
          <w:szCs w:val="28"/>
        </w:rPr>
        <w:t xml:space="preserve">Линия простирания </w:t>
      </w:r>
      <w:r w:rsidRPr="005127D9">
        <w:rPr>
          <w:sz w:val="28"/>
          <w:szCs w:val="28"/>
        </w:rPr>
        <w:t xml:space="preserve">- горизонтальная линия, проведенная в плоскости пласта. На любой наклонной поверхности это будет множество параллельных линий, азимут которых определяют, прикладывая компас длинной стороной в горизонтальном положении к пласту (рисунок 3). Взяв отсчет по северному концу стрелки, </w:t>
      </w:r>
      <w:r w:rsidRPr="005127D9">
        <w:rPr>
          <w:sz w:val="28"/>
          <w:szCs w:val="28"/>
        </w:rPr>
        <w:lastRenderedPageBreak/>
        <w:t>получают азимут линии простирания, который в полевой дневник записывают, указывая и сторону света: аз</w:t>
      </w:r>
      <w:proofErr w:type="gramStart"/>
      <w:r w:rsidRPr="005127D9">
        <w:rPr>
          <w:sz w:val="28"/>
          <w:szCs w:val="28"/>
        </w:rPr>
        <w:t>.</w:t>
      </w:r>
      <w:proofErr w:type="gramEnd"/>
      <w:r w:rsidRPr="005127D9">
        <w:rPr>
          <w:sz w:val="28"/>
          <w:szCs w:val="28"/>
        </w:rPr>
        <w:t xml:space="preserve"> </w:t>
      </w:r>
      <w:proofErr w:type="gramStart"/>
      <w:r w:rsidRPr="005127D9">
        <w:rPr>
          <w:sz w:val="28"/>
          <w:szCs w:val="28"/>
        </w:rPr>
        <w:t>п</w:t>
      </w:r>
      <w:proofErr w:type="gramEnd"/>
      <w:r w:rsidRPr="005127D9">
        <w:rPr>
          <w:sz w:val="28"/>
          <w:szCs w:val="28"/>
        </w:rPr>
        <w:t>р. СЗ 285 (значок «</w:t>
      </w:r>
      <w:r w:rsidRPr="005127D9">
        <w:rPr>
          <w:b/>
          <w:bCs/>
          <w:sz w:val="28"/>
          <w:szCs w:val="28"/>
        </w:rPr>
        <w:t xml:space="preserve">°» </w:t>
      </w:r>
      <w:r w:rsidRPr="005127D9">
        <w:rPr>
          <w:sz w:val="28"/>
          <w:szCs w:val="28"/>
        </w:rPr>
        <w:t xml:space="preserve">не ставится). </w:t>
      </w:r>
    </w:p>
    <w:p w:rsidR="005127D9" w:rsidRPr="005127D9" w:rsidRDefault="005127D9" w:rsidP="005127D9">
      <w:pPr>
        <w:pStyle w:val="Default"/>
        <w:jc w:val="center"/>
        <w:rPr>
          <w:sz w:val="28"/>
          <w:szCs w:val="28"/>
        </w:rPr>
      </w:pPr>
      <w:r w:rsidRPr="005127D9">
        <w:rPr>
          <w:noProof/>
          <w:sz w:val="28"/>
          <w:szCs w:val="28"/>
          <w:lang w:eastAsia="ru-RU"/>
        </w:rPr>
        <w:drawing>
          <wp:inline distT="0" distB="0" distL="0" distR="0" wp14:anchorId="35E3CC32" wp14:editId="7F1D79EB">
            <wp:extent cx="3794125" cy="1896745"/>
            <wp:effectExtent l="0" t="0" r="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94125" cy="1896745"/>
                    </a:xfrm>
                    <a:prstGeom prst="rect">
                      <a:avLst/>
                    </a:prstGeom>
                    <a:noFill/>
                    <a:ln>
                      <a:noFill/>
                    </a:ln>
                  </pic:spPr>
                </pic:pic>
              </a:graphicData>
            </a:graphic>
          </wp:inline>
        </w:drawing>
      </w:r>
    </w:p>
    <w:p w:rsidR="005127D9" w:rsidRPr="005127D9" w:rsidRDefault="005127D9" w:rsidP="005127D9">
      <w:pPr>
        <w:pStyle w:val="Default"/>
        <w:jc w:val="center"/>
        <w:rPr>
          <w:sz w:val="28"/>
          <w:szCs w:val="28"/>
        </w:rPr>
      </w:pPr>
      <w:r w:rsidRPr="005127D9">
        <w:rPr>
          <w:sz w:val="28"/>
          <w:szCs w:val="28"/>
        </w:rPr>
        <w:t>Рисунок 2. Элементы залегания пласта</w:t>
      </w:r>
    </w:p>
    <w:p w:rsidR="005127D9" w:rsidRPr="005127D9" w:rsidRDefault="005127D9" w:rsidP="005127D9">
      <w:pPr>
        <w:pStyle w:val="Default"/>
        <w:jc w:val="both"/>
        <w:rPr>
          <w:sz w:val="28"/>
          <w:szCs w:val="28"/>
        </w:rPr>
      </w:pPr>
    </w:p>
    <w:p w:rsidR="005127D9" w:rsidRPr="005127D9" w:rsidRDefault="005127D9" w:rsidP="005127D9">
      <w:pPr>
        <w:pStyle w:val="Default"/>
        <w:ind w:firstLine="709"/>
        <w:jc w:val="both"/>
        <w:rPr>
          <w:sz w:val="28"/>
          <w:szCs w:val="28"/>
        </w:rPr>
      </w:pPr>
      <w:r w:rsidRPr="005127D9">
        <w:rPr>
          <w:i/>
          <w:iCs/>
          <w:sz w:val="28"/>
          <w:szCs w:val="28"/>
        </w:rPr>
        <w:t xml:space="preserve">Линия падения </w:t>
      </w:r>
      <w:r w:rsidRPr="005127D9">
        <w:rPr>
          <w:sz w:val="28"/>
          <w:szCs w:val="28"/>
        </w:rPr>
        <w:t xml:space="preserve">- линия, расположенная в плоскости пласта, имеющая наибольший угол наклона к горизонту из всех, которые можно провести на поверхности пласта. Она всегда перпендикулярна к линии простирания и направлена в сторону погружения пласта. При определении азимута падения горный компас прикладывают короткой стороной к пласту таким образом, чтобы северный конец компаса (знак «С» на лимбе) был направлен в сторону падения, а уровень на компасе показывал горизонтальное положение компаса. Отсчет берется по северному концу стрелки. </w:t>
      </w:r>
    </w:p>
    <w:p w:rsidR="005127D9" w:rsidRPr="005127D9" w:rsidRDefault="005127D9" w:rsidP="005127D9">
      <w:pPr>
        <w:pStyle w:val="Default"/>
        <w:ind w:firstLine="709"/>
        <w:jc w:val="center"/>
        <w:rPr>
          <w:sz w:val="28"/>
          <w:szCs w:val="28"/>
        </w:rPr>
      </w:pPr>
      <w:r w:rsidRPr="005127D9">
        <w:rPr>
          <w:noProof/>
          <w:sz w:val="28"/>
          <w:szCs w:val="28"/>
          <w:lang w:eastAsia="ru-RU"/>
        </w:rPr>
        <w:drawing>
          <wp:inline distT="0" distB="0" distL="0" distR="0" wp14:anchorId="28DB31D2" wp14:editId="7C130C18">
            <wp:extent cx="3794125" cy="33985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94125" cy="3398520"/>
                    </a:xfrm>
                    <a:prstGeom prst="rect">
                      <a:avLst/>
                    </a:prstGeom>
                    <a:noFill/>
                    <a:ln>
                      <a:noFill/>
                    </a:ln>
                  </pic:spPr>
                </pic:pic>
              </a:graphicData>
            </a:graphic>
          </wp:inline>
        </w:drawing>
      </w:r>
    </w:p>
    <w:p w:rsidR="005127D9" w:rsidRPr="005127D9" w:rsidRDefault="005127D9" w:rsidP="005127D9">
      <w:pPr>
        <w:pStyle w:val="Default"/>
        <w:ind w:firstLine="709"/>
        <w:jc w:val="center"/>
        <w:rPr>
          <w:sz w:val="28"/>
          <w:szCs w:val="28"/>
        </w:rPr>
      </w:pPr>
      <w:r w:rsidRPr="005127D9">
        <w:rPr>
          <w:sz w:val="28"/>
          <w:szCs w:val="28"/>
        </w:rPr>
        <w:t>Рисунок 3 . Измерение элементов залегания горных пород</w:t>
      </w:r>
    </w:p>
    <w:p w:rsidR="005127D9" w:rsidRPr="005127D9" w:rsidRDefault="005127D9" w:rsidP="005127D9">
      <w:pPr>
        <w:pStyle w:val="Default"/>
        <w:ind w:firstLine="709"/>
        <w:jc w:val="both"/>
        <w:rPr>
          <w:i/>
          <w:iCs/>
          <w:sz w:val="28"/>
          <w:szCs w:val="28"/>
        </w:rPr>
      </w:pPr>
    </w:p>
    <w:p w:rsidR="005127D9" w:rsidRDefault="005127D9" w:rsidP="005127D9">
      <w:pPr>
        <w:spacing w:after="0" w:line="240" w:lineRule="auto"/>
        <w:ind w:firstLine="567"/>
        <w:jc w:val="both"/>
        <w:rPr>
          <w:rFonts w:ascii="Times New Roman" w:hAnsi="Times New Roman" w:cs="Times New Roman"/>
          <w:sz w:val="28"/>
          <w:szCs w:val="28"/>
        </w:rPr>
      </w:pPr>
      <w:r w:rsidRPr="005127D9">
        <w:rPr>
          <w:rFonts w:ascii="Times New Roman" w:hAnsi="Times New Roman" w:cs="Times New Roman"/>
          <w:i/>
          <w:iCs/>
          <w:sz w:val="28"/>
          <w:szCs w:val="28"/>
        </w:rPr>
        <w:t xml:space="preserve">Угол падения </w:t>
      </w:r>
      <w:r w:rsidRPr="005127D9">
        <w:rPr>
          <w:rFonts w:ascii="Times New Roman" w:hAnsi="Times New Roman" w:cs="Times New Roman"/>
          <w:sz w:val="28"/>
          <w:szCs w:val="28"/>
        </w:rPr>
        <w:t>- угол между линией падения и проекцией ее на горизонтальную поверхность определ</w:t>
      </w:r>
      <w:r w:rsidRPr="005127D9">
        <w:rPr>
          <w:rFonts w:ascii="Times New Roman" w:hAnsi="Times New Roman" w:cs="Times New Roman"/>
          <w:sz w:val="28"/>
          <w:szCs w:val="28"/>
        </w:rPr>
        <w:t xml:space="preserve">яют с помощью отвеса горного </w:t>
      </w:r>
      <w:r w:rsidRPr="005127D9">
        <w:rPr>
          <w:rFonts w:ascii="Times New Roman" w:hAnsi="Times New Roman" w:cs="Times New Roman"/>
          <w:sz w:val="28"/>
          <w:szCs w:val="28"/>
        </w:rPr>
        <w:t xml:space="preserve">компаса, прикладывая компас к пласту или методом визирования: отойдя от </w:t>
      </w:r>
      <w:r w:rsidRPr="005127D9">
        <w:rPr>
          <w:rFonts w:ascii="Times New Roman" w:hAnsi="Times New Roman" w:cs="Times New Roman"/>
          <w:sz w:val="28"/>
          <w:szCs w:val="28"/>
        </w:rPr>
        <w:lastRenderedPageBreak/>
        <w:t xml:space="preserve">обнажения как минимум </w:t>
      </w:r>
      <w:r w:rsidRPr="005127D9">
        <w:rPr>
          <w:rFonts w:ascii="Times New Roman" w:hAnsi="Times New Roman" w:cs="Times New Roman"/>
          <w:sz w:val="28"/>
          <w:szCs w:val="28"/>
        </w:rPr>
        <w:t xml:space="preserve">на несколько шагов, держа компас на вытянутой руке так, чтобы его край совпадал с замеряемой поверхностью слоя. </w:t>
      </w:r>
    </w:p>
    <w:p w:rsidR="005127D9" w:rsidRDefault="005127D9" w:rsidP="005127D9">
      <w:pPr>
        <w:spacing w:after="0" w:line="240" w:lineRule="auto"/>
        <w:ind w:firstLine="567"/>
        <w:jc w:val="both"/>
        <w:rPr>
          <w:rFonts w:ascii="Times New Roman" w:hAnsi="Times New Roman" w:cs="Times New Roman"/>
          <w:sz w:val="28"/>
          <w:szCs w:val="28"/>
        </w:rPr>
      </w:pPr>
    </w:p>
    <w:p w:rsidR="005127D9" w:rsidRDefault="005127D9" w:rsidP="005127D9">
      <w:pPr>
        <w:spacing w:after="0" w:line="240" w:lineRule="auto"/>
        <w:ind w:firstLine="709"/>
        <w:jc w:val="both"/>
        <w:rPr>
          <w:rFonts w:ascii="Times New Roman" w:hAnsi="Times New Roman" w:cs="Times New Roman"/>
          <w:b/>
          <w:bCs/>
          <w:sz w:val="28"/>
          <w:szCs w:val="28"/>
        </w:rPr>
      </w:pPr>
      <w:r w:rsidRPr="005127D9">
        <w:rPr>
          <w:rFonts w:ascii="Times New Roman" w:hAnsi="Times New Roman" w:cs="Times New Roman"/>
          <w:bCs/>
          <w:sz w:val="28"/>
          <w:szCs w:val="28"/>
        </w:rPr>
        <w:t xml:space="preserve">1.5.2 </w:t>
      </w:r>
      <w:r w:rsidRPr="005127D9">
        <w:rPr>
          <w:rFonts w:ascii="Times New Roman" w:hAnsi="Times New Roman" w:cs="Times New Roman"/>
          <w:bCs/>
          <w:sz w:val="28"/>
          <w:szCs w:val="28"/>
        </w:rPr>
        <w:t xml:space="preserve"> «Чтение геологических карт. Построение геологического разреза»</w:t>
      </w:r>
      <w:r w:rsidRPr="005127D9">
        <w:rPr>
          <w:rFonts w:ascii="Times New Roman" w:hAnsi="Times New Roman" w:cs="Times New Roman"/>
          <w:b/>
          <w:bCs/>
          <w:sz w:val="28"/>
          <w:szCs w:val="28"/>
        </w:rPr>
        <w:t xml:space="preserve"> </w:t>
      </w:r>
    </w:p>
    <w:p w:rsidR="005127D9" w:rsidRPr="005127D9" w:rsidRDefault="005127D9" w:rsidP="005127D9">
      <w:pPr>
        <w:spacing w:after="0" w:line="240" w:lineRule="auto"/>
        <w:ind w:firstLine="709"/>
        <w:jc w:val="both"/>
        <w:rPr>
          <w:rFonts w:ascii="Times New Roman" w:hAnsi="Times New Roman" w:cs="Times New Roman"/>
          <w:sz w:val="28"/>
          <w:szCs w:val="28"/>
        </w:rPr>
      </w:pPr>
      <w:r w:rsidRPr="005127D9">
        <w:rPr>
          <w:rFonts w:ascii="Times New Roman" w:hAnsi="Times New Roman" w:cs="Times New Roman"/>
          <w:i/>
          <w:iCs/>
          <w:sz w:val="28"/>
          <w:szCs w:val="28"/>
        </w:rPr>
        <w:t xml:space="preserve">Геологическая карта </w:t>
      </w:r>
      <w:r w:rsidRPr="005127D9">
        <w:rPr>
          <w:rFonts w:ascii="Times New Roman" w:hAnsi="Times New Roman" w:cs="Times New Roman"/>
          <w:sz w:val="28"/>
          <w:szCs w:val="28"/>
        </w:rPr>
        <w:t xml:space="preserve">- это графическое изображение на </w:t>
      </w:r>
      <w:proofErr w:type="spellStart"/>
      <w:r w:rsidRPr="005127D9">
        <w:rPr>
          <w:rFonts w:ascii="Times New Roman" w:hAnsi="Times New Roman" w:cs="Times New Roman"/>
          <w:sz w:val="28"/>
          <w:szCs w:val="28"/>
        </w:rPr>
        <w:t>топооснове</w:t>
      </w:r>
      <w:proofErr w:type="spellEnd"/>
      <w:r w:rsidRPr="005127D9">
        <w:rPr>
          <w:rFonts w:ascii="Times New Roman" w:hAnsi="Times New Roman" w:cs="Times New Roman"/>
          <w:sz w:val="28"/>
          <w:szCs w:val="28"/>
        </w:rPr>
        <w:t xml:space="preserve"> в определенном масштабе геологического строения какого-либо участка поверхности. По масштабам геологические карты делятся на четыре группы: мелкомасштабные, среднемасштабные, крупномасштабные и детальные. </w:t>
      </w:r>
      <w:r w:rsidRPr="005127D9">
        <w:rPr>
          <w:rFonts w:ascii="Times New Roman" w:hAnsi="Times New Roman" w:cs="Times New Roman"/>
          <w:i/>
          <w:iCs/>
          <w:sz w:val="28"/>
          <w:szCs w:val="28"/>
        </w:rPr>
        <w:t xml:space="preserve">Мелкомасштабные </w:t>
      </w:r>
      <w:r w:rsidRPr="005127D9">
        <w:rPr>
          <w:rFonts w:ascii="Times New Roman" w:hAnsi="Times New Roman" w:cs="Times New Roman"/>
          <w:sz w:val="28"/>
          <w:szCs w:val="28"/>
        </w:rPr>
        <w:t xml:space="preserve">карты масштаба 1:1000 000 и мельче - дают представление о геологическом строении всей площади какого-либо региона, государства, материка или всего мира. </w:t>
      </w:r>
      <w:r w:rsidRPr="005127D9">
        <w:rPr>
          <w:rFonts w:ascii="Times New Roman" w:hAnsi="Times New Roman" w:cs="Times New Roman"/>
          <w:i/>
          <w:iCs/>
          <w:sz w:val="28"/>
          <w:szCs w:val="28"/>
        </w:rPr>
        <w:t xml:space="preserve">Среднемасштабные </w:t>
      </w:r>
      <w:r w:rsidRPr="005127D9">
        <w:rPr>
          <w:rFonts w:ascii="Times New Roman" w:hAnsi="Times New Roman" w:cs="Times New Roman"/>
          <w:sz w:val="28"/>
          <w:szCs w:val="28"/>
        </w:rPr>
        <w:t xml:space="preserve">карты масштаба 1:200 000 - 1:100 000 составляются с целью изображения основных черт геологического строения территории и прогнозной оценки </w:t>
      </w:r>
      <w:proofErr w:type="spellStart"/>
      <w:r w:rsidRPr="005127D9">
        <w:rPr>
          <w:rFonts w:ascii="Times New Roman" w:hAnsi="Times New Roman" w:cs="Times New Roman"/>
          <w:sz w:val="28"/>
          <w:szCs w:val="28"/>
        </w:rPr>
        <w:t>еѐ</w:t>
      </w:r>
      <w:proofErr w:type="spellEnd"/>
      <w:r w:rsidRPr="005127D9">
        <w:rPr>
          <w:rFonts w:ascii="Times New Roman" w:hAnsi="Times New Roman" w:cs="Times New Roman"/>
          <w:sz w:val="28"/>
          <w:szCs w:val="28"/>
        </w:rPr>
        <w:t xml:space="preserve"> в отношении полезных ископаемых. </w:t>
      </w:r>
      <w:r w:rsidRPr="005127D9">
        <w:rPr>
          <w:rFonts w:ascii="Times New Roman" w:hAnsi="Times New Roman" w:cs="Times New Roman"/>
          <w:i/>
          <w:iCs/>
          <w:sz w:val="28"/>
          <w:szCs w:val="28"/>
        </w:rPr>
        <w:t xml:space="preserve">Крупномасштабные </w:t>
      </w:r>
      <w:r w:rsidRPr="005127D9">
        <w:rPr>
          <w:rFonts w:ascii="Times New Roman" w:hAnsi="Times New Roman" w:cs="Times New Roman"/>
          <w:sz w:val="28"/>
          <w:szCs w:val="28"/>
        </w:rPr>
        <w:t xml:space="preserve">карты масштаба 1:50000 - 1:25000 служат для более подробного освещения геологического строения районов, перспективных в отношении месторождений полезных ископаемых или предназначенных для сельскохозяйственного освоения; строительства городов, предприятий, гидростанций и пр. </w:t>
      </w:r>
      <w:r w:rsidRPr="005127D9">
        <w:rPr>
          <w:rFonts w:ascii="Times New Roman" w:hAnsi="Times New Roman" w:cs="Times New Roman"/>
          <w:i/>
          <w:iCs/>
          <w:sz w:val="28"/>
          <w:szCs w:val="28"/>
        </w:rPr>
        <w:t xml:space="preserve">Детальные </w:t>
      </w:r>
      <w:r w:rsidRPr="005127D9">
        <w:rPr>
          <w:rFonts w:ascii="Times New Roman" w:hAnsi="Times New Roman" w:cs="Times New Roman"/>
          <w:sz w:val="28"/>
          <w:szCs w:val="28"/>
        </w:rPr>
        <w:t xml:space="preserve">карты масштаба 1:10 000 и крупнее - позволяют решать вопросы, связанные с закономерностями размещения рудных тел, с </w:t>
      </w:r>
      <w:proofErr w:type="spellStart"/>
      <w:r w:rsidRPr="005127D9">
        <w:rPr>
          <w:rFonts w:ascii="Times New Roman" w:hAnsi="Times New Roman" w:cs="Times New Roman"/>
          <w:sz w:val="28"/>
          <w:szCs w:val="28"/>
        </w:rPr>
        <w:t>подсчѐтом</w:t>
      </w:r>
      <w:proofErr w:type="spellEnd"/>
      <w:r w:rsidRPr="005127D9">
        <w:rPr>
          <w:rFonts w:ascii="Times New Roman" w:hAnsi="Times New Roman" w:cs="Times New Roman"/>
          <w:sz w:val="28"/>
          <w:szCs w:val="28"/>
        </w:rPr>
        <w:t xml:space="preserve"> запасов полезных ископаемых и возможностями промышленного и гражданского строительства. Средне-, крупномасштабные и детальные карты сопровождаются стратиграфическими колонками. В зависимости от цели геологических исследований составляются специальные геологические карты: литологические, гидрогеологические, полезных ископаемых, геоморфологические, тектонические и т.д. В основе составления геологических карт лежит литолого-стратиграфический и структурный принципы. В соответствии с ним все горные породы рассматриваются с учетом их состава, условий и времени происхождения, последующего их преобразования и взаимных связей в пространстве. При составлении карты нужно знать возрастную (геохронологическую) последовательность образования пород, участвующих в строении территории. </w:t>
      </w:r>
    </w:p>
    <w:p w:rsidR="005127D9" w:rsidRDefault="005127D9" w:rsidP="005127D9">
      <w:pPr>
        <w:pStyle w:val="Default"/>
        <w:ind w:firstLine="709"/>
        <w:jc w:val="both"/>
        <w:rPr>
          <w:sz w:val="28"/>
          <w:szCs w:val="28"/>
        </w:rPr>
      </w:pPr>
      <w:r w:rsidRPr="005127D9">
        <w:rPr>
          <w:sz w:val="28"/>
          <w:szCs w:val="28"/>
        </w:rPr>
        <w:t>К настоящему времени на основе изучения относительного и абсолютного возраста пород создана единая геохронологическая шкала, отражающая историю развития земной коры во</w:t>
      </w:r>
      <w:r>
        <w:rPr>
          <w:sz w:val="28"/>
          <w:szCs w:val="28"/>
        </w:rPr>
        <w:t xml:space="preserve"> времени и стратиграфическая </w:t>
      </w:r>
      <w:r w:rsidRPr="005127D9">
        <w:rPr>
          <w:sz w:val="28"/>
          <w:szCs w:val="28"/>
        </w:rPr>
        <w:t xml:space="preserve">шкала, отражающая последовательность накопления толщ земной коры во времени </w:t>
      </w:r>
      <w:proofErr w:type="gramStart"/>
      <w:r w:rsidRPr="005127D9">
        <w:rPr>
          <w:sz w:val="28"/>
          <w:szCs w:val="28"/>
        </w:rPr>
        <w:t xml:space="preserve">( </w:t>
      </w:r>
      <w:proofErr w:type="gramEnd"/>
      <w:r w:rsidRPr="005127D9">
        <w:rPr>
          <w:sz w:val="28"/>
          <w:szCs w:val="28"/>
        </w:rPr>
        <w:t xml:space="preserve">рисунок 4). </w:t>
      </w:r>
    </w:p>
    <w:p w:rsidR="005127D9" w:rsidRDefault="005127D9" w:rsidP="005127D9">
      <w:pPr>
        <w:pStyle w:val="Default"/>
        <w:ind w:firstLine="709"/>
        <w:jc w:val="both"/>
        <w:rPr>
          <w:sz w:val="28"/>
          <w:szCs w:val="28"/>
        </w:rPr>
      </w:pPr>
      <w:r>
        <w:rPr>
          <w:noProof/>
          <w:sz w:val="28"/>
          <w:szCs w:val="28"/>
          <w:lang w:eastAsia="ru-RU"/>
        </w:rPr>
        <w:lastRenderedPageBreak/>
        <w:drawing>
          <wp:inline distT="0" distB="0" distL="0" distR="0">
            <wp:extent cx="4624359" cy="7588156"/>
            <wp:effectExtent l="0" t="0" r="508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19408" cy="7580032"/>
                    </a:xfrm>
                    <a:prstGeom prst="rect">
                      <a:avLst/>
                    </a:prstGeom>
                    <a:noFill/>
                    <a:ln>
                      <a:noFill/>
                    </a:ln>
                  </pic:spPr>
                </pic:pic>
              </a:graphicData>
            </a:graphic>
          </wp:inline>
        </w:drawing>
      </w:r>
    </w:p>
    <w:p w:rsidR="005127D9" w:rsidRDefault="005127D9" w:rsidP="005127D9">
      <w:pPr>
        <w:pStyle w:val="Default"/>
        <w:ind w:firstLine="709"/>
        <w:jc w:val="center"/>
        <w:rPr>
          <w:sz w:val="28"/>
          <w:szCs w:val="28"/>
        </w:rPr>
      </w:pPr>
      <w:r w:rsidRPr="005127D9">
        <w:rPr>
          <w:sz w:val="28"/>
          <w:szCs w:val="28"/>
        </w:rPr>
        <w:t xml:space="preserve">Рисунок 4. </w:t>
      </w:r>
      <w:proofErr w:type="spellStart"/>
      <w:r w:rsidRPr="005127D9">
        <w:rPr>
          <w:sz w:val="28"/>
          <w:szCs w:val="28"/>
        </w:rPr>
        <w:t>Сратиграфическая</w:t>
      </w:r>
      <w:proofErr w:type="spellEnd"/>
      <w:r w:rsidRPr="005127D9">
        <w:rPr>
          <w:sz w:val="28"/>
          <w:szCs w:val="28"/>
        </w:rPr>
        <w:t xml:space="preserve"> шкала</w:t>
      </w:r>
    </w:p>
    <w:p w:rsidR="005127D9" w:rsidRDefault="005127D9" w:rsidP="005127D9">
      <w:pPr>
        <w:pStyle w:val="Default"/>
        <w:ind w:firstLine="709"/>
        <w:jc w:val="center"/>
        <w:rPr>
          <w:sz w:val="28"/>
          <w:szCs w:val="28"/>
        </w:rPr>
      </w:pPr>
    </w:p>
    <w:p w:rsidR="005127D9" w:rsidRDefault="005127D9" w:rsidP="005127D9">
      <w:pPr>
        <w:pStyle w:val="Default"/>
        <w:ind w:firstLine="709"/>
        <w:jc w:val="both"/>
        <w:rPr>
          <w:sz w:val="28"/>
          <w:szCs w:val="28"/>
        </w:rPr>
      </w:pPr>
      <w:r w:rsidRPr="005127D9">
        <w:rPr>
          <w:sz w:val="28"/>
          <w:szCs w:val="28"/>
        </w:rPr>
        <w:t xml:space="preserve">Подразделения обоих шкал строго соответствуют друг другу. На геологической карте употребляются подразделения стратиграфической шкалы. Для указания состава, времени образования, условий залегания горных пород на геологических картах применяют особые условные знаки, которые могут быть цветовыми, буквенными, цифровыми или штриховыми. </w:t>
      </w:r>
      <w:r w:rsidRPr="005127D9">
        <w:rPr>
          <w:i/>
          <w:iCs/>
          <w:sz w:val="28"/>
          <w:szCs w:val="28"/>
        </w:rPr>
        <w:t xml:space="preserve">Цветовые знаки - </w:t>
      </w:r>
      <w:r w:rsidRPr="005127D9">
        <w:rPr>
          <w:sz w:val="28"/>
          <w:szCs w:val="28"/>
        </w:rPr>
        <w:t xml:space="preserve">применяют для обозначения возраста осадочных и </w:t>
      </w:r>
      <w:r w:rsidRPr="005127D9">
        <w:rPr>
          <w:sz w:val="28"/>
          <w:szCs w:val="28"/>
        </w:rPr>
        <w:lastRenderedPageBreak/>
        <w:t>вулканогенных пород, а также состава интрузивных пород и новейших эффузивных. В стратиграфических подразделениях каждой системе присвоен свой цве</w:t>
      </w:r>
      <w:proofErr w:type="gramStart"/>
      <w:r w:rsidRPr="005127D9">
        <w:rPr>
          <w:sz w:val="28"/>
          <w:szCs w:val="28"/>
        </w:rPr>
        <w:t>т(</w:t>
      </w:r>
      <w:proofErr w:type="gramEnd"/>
      <w:r w:rsidRPr="005127D9">
        <w:rPr>
          <w:sz w:val="28"/>
          <w:szCs w:val="28"/>
        </w:rPr>
        <w:t xml:space="preserve">таблица 3). Более дробные подразделения </w:t>
      </w:r>
      <w:proofErr w:type="gramStart"/>
      <w:r w:rsidRPr="005127D9">
        <w:rPr>
          <w:sz w:val="28"/>
          <w:szCs w:val="28"/>
        </w:rPr>
        <w:t>-о</w:t>
      </w:r>
      <w:proofErr w:type="gramEnd"/>
      <w:r w:rsidRPr="005127D9">
        <w:rPr>
          <w:sz w:val="28"/>
          <w:szCs w:val="28"/>
        </w:rPr>
        <w:t>тдел, ярус, закрашиваются цветом соответствующей системы, при этом более древние подразделения имеют более темный тон. Раскраска интрузивных пород производится</w:t>
      </w:r>
      <w:r>
        <w:rPr>
          <w:sz w:val="28"/>
          <w:szCs w:val="28"/>
        </w:rPr>
        <w:t xml:space="preserve"> в зависимости от их состава. </w:t>
      </w:r>
    </w:p>
    <w:p w:rsidR="005127D9" w:rsidRDefault="005127D9" w:rsidP="005127D9">
      <w:pPr>
        <w:pStyle w:val="Default"/>
        <w:ind w:firstLine="709"/>
        <w:jc w:val="both"/>
        <w:rPr>
          <w:sz w:val="28"/>
          <w:szCs w:val="28"/>
        </w:rPr>
      </w:pPr>
    </w:p>
    <w:p w:rsidR="005127D9" w:rsidRDefault="005127D9" w:rsidP="005127D9">
      <w:pPr>
        <w:pStyle w:val="Default"/>
        <w:ind w:firstLine="709"/>
        <w:jc w:val="both"/>
        <w:rPr>
          <w:sz w:val="28"/>
          <w:szCs w:val="28"/>
        </w:rPr>
      </w:pPr>
      <w:r w:rsidRPr="005127D9">
        <w:rPr>
          <w:sz w:val="28"/>
          <w:szCs w:val="28"/>
        </w:rPr>
        <w:t>Таблица 3- Цветовые обозначения на геологической карте</w:t>
      </w:r>
    </w:p>
    <w:p w:rsidR="001B7EBE" w:rsidRDefault="005127D9" w:rsidP="005127D9">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842635" cy="2957195"/>
            <wp:effectExtent l="0" t="0" r="5715" b="0"/>
            <wp:docPr id="5" name="Рисунок 5" descr="C:\Users\NZimanovskaya\Desktop\Erasmus+\Для презинтаций\Геохимия\Сохраненное изображение 2016-2-12_13-34-7.9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NZimanovskaya\Desktop\Erasmus+\Для презинтаций\Геохимия\Сохраненное изображение 2016-2-12_13-34-7.90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42635" cy="2957195"/>
                    </a:xfrm>
                    <a:prstGeom prst="rect">
                      <a:avLst/>
                    </a:prstGeom>
                    <a:noFill/>
                    <a:ln>
                      <a:noFill/>
                    </a:ln>
                  </pic:spPr>
                </pic:pic>
              </a:graphicData>
            </a:graphic>
          </wp:inline>
        </w:drawing>
      </w:r>
    </w:p>
    <w:p w:rsidR="005127D9" w:rsidRDefault="005127D9" w:rsidP="005127D9">
      <w:pPr>
        <w:spacing w:after="0" w:line="240" w:lineRule="auto"/>
        <w:ind w:firstLine="709"/>
        <w:jc w:val="both"/>
        <w:rPr>
          <w:rFonts w:ascii="Times New Roman" w:hAnsi="Times New Roman" w:cs="Times New Roman"/>
          <w:sz w:val="28"/>
          <w:szCs w:val="28"/>
        </w:rPr>
      </w:pPr>
      <w:r w:rsidRPr="005127D9">
        <w:rPr>
          <w:rFonts w:ascii="Times New Roman" w:hAnsi="Times New Roman" w:cs="Times New Roman"/>
          <w:sz w:val="28"/>
          <w:szCs w:val="28"/>
        </w:rPr>
        <w:t xml:space="preserve">Для раскраски магматических пород используют следующие цвета: </w:t>
      </w:r>
      <w:proofErr w:type="gramStart"/>
      <w:r w:rsidRPr="005127D9">
        <w:rPr>
          <w:rFonts w:ascii="Times New Roman" w:hAnsi="Times New Roman" w:cs="Times New Roman"/>
          <w:i/>
          <w:iCs/>
          <w:sz w:val="28"/>
          <w:szCs w:val="28"/>
        </w:rPr>
        <w:t xml:space="preserve">Кислые </w:t>
      </w:r>
      <w:r w:rsidRPr="005127D9">
        <w:rPr>
          <w:rFonts w:ascii="Times New Roman" w:hAnsi="Times New Roman" w:cs="Times New Roman"/>
          <w:sz w:val="28"/>
          <w:szCs w:val="28"/>
        </w:rPr>
        <w:t xml:space="preserve">- красный; </w:t>
      </w:r>
      <w:r w:rsidRPr="005127D9">
        <w:rPr>
          <w:rFonts w:ascii="Times New Roman" w:hAnsi="Times New Roman" w:cs="Times New Roman"/>
          <w:i/>
          <w:iCs/>
          <w:sz w:val="28"/>
          <w:szCs w:val="28"/>
        </w:rPr>
        <w:t xml:space="preserve">Средние и щелочные </w:t>
      </w:r>
      <w:r w:rsidRPr="005127D9">
        <w:rPr>
          <w:rFonts w:ascii="Times New Roman" w:hAnsi="Times New Roman" w:cs="Times New Roman"/>
          <w:sz w:val="28"/>
          <w:szCs w:val="28"/>
        </w:rPr>
        <w:t xml:space="preserve">- красновато - оранжевый; </w:t>
      </w:r>
      <w:r w:rsidRPr="005127D9">
        <w:rPr>
          <w:rFonts w:ascii="Times New Roman" w:hAnsi="Times New Roman" w:cs="Times New Roman"/>
          <w:i/>
          <w:iCs/>
          <w:sz w:val="28"/>
          <w:szCs w:val="28"/>
        </w:rPr>
        <w:t xml:space="preserve">Основные </w:t>
      </w:r>
      <w:r w:rsidRPr="005127D9">
        <w:rPr>
          <w:rFonts w:ascii="Times New Roman" w:hAnsi="Times New Roman" w:cs="Times New Roman"/>
          <w:sz w:val="28"/>
          <w:szCs w:val="28"/>
        </w:rPr>
        <w:t xml:space="preserve">- зеленый; </w:t>
      </w:r>
      <w:r w:rsidRPr="005127D9">
        <w:rPr>
          <w:rFonts w:ascii="Times New Roman" w:hAnsi="Times New Roman" w:cs="Times New Roman"/>
          <w:i/>
          <w:iCs/>
          <w:sz w:val="28"/>
          <w:szCs w:val="28"/>
        </w:rPr>
        <w:t xml:space="preserve">Ультраосновные </w:t>
      </w:r>
      <w:r w:rsidRPr="005127D9">
        <w:rPr>
          <w:rFonts w:ascii="Times New Roman" w:hAnsi="Times New Roman" w:cs="Times New Roman"/>
          <w:sz w:val="28"/>
          <w:szCs w:val="28"/>
        </w:rPr>
        <w:t>- фиолетовый; Новейшие интрузивные комплексы: кислые - оранжевые; средние и основные - зеленые.</w:t>
      </w:r>
      <w:proofErr w:type="gramEnd"/>
      <w:r w:rsidRPr="005127D9">
        <w:rPr>
          <w:rFonts w:ascii="Times New Roman" w:hAnsi="Times New Roman" w:cs="Times New Roman"/>
          <w:sz w:val="28"/>
          <w:szCs w:val="28"/>
        </w:rPr>
        <w:t xml:space="preserve"> </w:t>
      </w:r>
      <w:r w:rsidRPr="005127D9">
        <w:rPr>
          <w:rFonts w:ascii="Times New Roman" w:hAnsi="Times New Roman" w:cs="Times New Roman"/>
          <w:i/>
          <w:iCs/>
          <w:sz w:val="28"/>
          <w:szCs w:val="28"/>
        </w:rPr>
        <w:t xml:space="preserve">Буквенные и цифровые обозначения </w:t>
      </w:r>
      <w:r w:rsidRPr="005127D9">
        <w:rPr>
          <w:rFonts w:ascii="Times New Roman" w:hAnsi="Times New Roman" w:cs="Times New Roman"/>
          <w:sz w:val="28"/>
          <w:szCs w:val="28"/>
        </w:rPr>
        <w:t>(индексы) обозначают возраст горных пород. В составлении индекса существуют правила. Система обозначается в виде заглавной буквы в латинской транскрипции например</w:t>
      </w:r>
      <w:proofErr w:type="gramStart"/>
      <w:r w:rsidRPr="005127D9">
        <w:rPr>
          <w:rFonts w:ascii="Times New Roman" w:hAnsi="Times New Roman" w:cs="Times New Roman"/>
          <w:sz w:val="28"/>
          <w:szCs w:val="28"/>
        </w:rPr>
        <w:t xml:space="preserve"> :</w:t>
      </w:r>
      <w:proofErr w:type="gramEnd"/>
      <w:r w:rsidRPr="005127D9">
        <w:rPr>
          <w:rFonts w:ascii="Times New Roman" w:hAnsi="Times New Roman" w:cs="Times New Roman"/>
          <w:sz w:val="28"/>
          <w:szCs w:val="28"/>
        </w:rPr>
        <w:t xml:space="preserve"> </w:t>
      </w:r>
      <w:r w:rsidRPr="005127D9">
        <w:rPr>
          <w:rFonts w:ascii="Times New Roman" w:hAnsi="Times New Roman" w:cs="Times New Roman"/>
          <w:i/>
          <w:iCs/>
          <w:sz w:val="28"/>
          <w:szCs w:val="28"/>
        </w:rPr>
        <w:t xml:space="preserve">D2 </w:t>
      </w:r>
      <w:proofErr w:type="spellStart"/>
      <w:r w:rsidRPr="005127D9">
        <w:rPr>
          <w:rFonts w:ascii="Times New Roman" w:hAnsi="Times New Roman" w:cs="Times New Roman"/>
          <w:i/>
          <w:iCs/>
          <w:sz w:val="28"/>
          <w:szCs w:val="28"/>
        </w:rPr>
        <w:t>gv</w:t>
      </w:r>
      <w:proofErr w:type="spellEnd"/>
      <w:r w:rsidRPr="005127D9">
        <w:rPr>
          <w:rFonts w:ascii="Times New Roman" w:hAnsi="Times New Roman" w:cs="Times New Roman"/>
          <w:sz w:val="28"/>
          <w:szCs w:val="28"/>
        </w:rPr>
        <w:t xml:space="preserve">- </w:t>
      </w:r>
      <w:r w:rsidRPr="005127D9">
        <w:rPr>
          <w:rFonts w:ascii="Times New Roman" w:hAnsi="Times New Roman" w:cs="Times New Roman"/>
          <w:i/>
          <w:iCs/>
          <w:sz w:val="28"/>
          <w:szCs w:val="28"/>
        </w:rPr>
        <w:t xml:space="preserve">девонская система, </w:t>
      </w:r>
      <w:r w:rsidRPr="005127D9">
        <w:rPr>
          <w:rFonts w:ascii="Times New Roman" w:hAnsi="Times New Roman" w:cs="Times New Roman"/>
          <w:sz w:val="28"/>
          <w:szCs w:val="28"/>
        </w:rPr>
        <w:t xml:space="preserve">отдел обозначается арабской цифрой снизу справа </w:t>
      </w:r>
      <w:proofErr w:type="gramStart"/>
      <w:r w:rsidRPr="005127D9">
        <w:rPr>
          <w:rFonts w:ascii="Times New Roman" w:hAnsi="Times New Roman" w:cs="Times New Roman"/>
          <w:sz w:val="28"/>
          <w:szCs w:val="28"/>
        </w:rPr>
        <w:t>-</w:t>
      </w:r>
      <w:r w:rsidRPr="005127D9">
        <w:rPr>
          <w:rFonts w:ascii="Times New Roman" w:hAnsi="Times New Roman" w:cs="Times New Roman"/>
          <w:i/>
          <w:iCs/>
          <w:sz w:val="28"/>
          <w:szCs w:val="28"/>
        </w:rPr>
        <w:t>с</w:t>
      </w:r>
      <w:proofErr w:type="gramEnd"/>
      <w:r w:rsidRPr="005127D9">
        <w:rPr>
          <w:rFonts w:ascii="Times New Roman" w:hAnsi="Times New Roman" w:cs="Times New Roman"/>
          <w:i/>
          <w:iCs/>
          <w:sz w:val="28"/>
          <w:szCs w:val="28"/>
        </w:rPr>
        <w:t>редний отдел</w:t>
      </w:r>
      <w:r w:rsidRPr="005127D9">
        <w:rPr>
          <w:rFonts w:ascii="Times New Roman" w:hAnsi="Times New Roman" w:cs="Times New Roman"/>
          <w:sz w:val="28"/>
          <w:szCs w:val="28"/>
        </w:rPr>
        <w:t xml:space="preserve">, далее снизу справа идет значок яруса- </w:t>
      </w:r>
      <w:proofErr w:type="spellStart"/>
      <w:r w:rsidRPr="005127D9">
        <w:rPr>
          <w:rFonts w:ascii="Times New Roman" w:hAnsi="Times New Roman" w:cs="Times New Roman"/>
          <w:i/>
          <w:iCs/>
          <w:sz w:val="28"/>
          <w:szCs w:val="28"/>
        </w:rPr>
        <w:t>живетский</w:t>
      </w:r>
      <w:proofErr w:type="spellEnd"/>
      <w:r w:rsidRPr="005127D9">
        <w:rPr>
          <w:rFonts w:ascii="Times New Roman" w:hAnsi="Times New Roman" w:cs="Times New Roman"/>
          <w:i/>
          <w:iCs/>
          <w:sz w:val="28"/>
          <w:szCs w:val="28"/>
        </w:rPr>
        <w:t xml:space="preserve"> ярус</w:t>
      </w:r>
      <w:r w:rsidRPr="005127D9">
        <w:rPr>
          <w:rFonts w:ascii="Times New Roman" w:hAnsi="Times New Roman" w:cs="Times New Roman"/>
          <w:sz w:val="28"/>
          <w:szCs w:val="28"/>
        </w:rPr>
        <w:t xml:space="preserve">. В случае если необходимо показать возраст двух систем применяют знак «+» между ними: </w:t>
      </w:r>
      <w:r w:rsidRPr="005127D9">
        <w:rPr>
          <w:rFonts w:ascii="Times New Roman" w:hAnsi="Times New Roman" w:cs="Times New Roman"/>
          <w:i/>
          <w:iCs/>
          <w:sz w:val="28"/>
          <w:szCs w:val="28"/>
        </w:rPr>
        <w:t>С+</w:t>
      </w:r>
      <w:proofErr w:type="gramStart"/>
      <w:r w:rsidRPr="005127D9">
        <w:rPr>
          <w:rFonts w:ascii="Times New Roman" w:hAnsi="Times New Roman" w:cs="Times New Roman"/>
          <w:i/>
          <w:iCs/>
          <w:sz w:val="28"/>
          <w:szCs w:val="28"/>
        </w:rPr>
        <w:t>Р</w:t>
      </w:r>
      <w:proofErr w:type="gramEnd"/>
      <w:r w:rsidRPr="005127D9">
        <w:rPr>
          <w:rFonts w:ascii="Times New Roman" w:hAnsi="Times New Roman" w:cs="Times New Roman"/>
          <w:i/>
          <w:iCs/>
          <w:sz w:val="28"/>
          <w:szCs w:val="28"/>
        </w:rPr>
        <w:t xml:space="preserve"> </w:t>
      </w:r>
      <w:r w:rsidRPr="005127D9">
        <w:rPr>
          <w:rFonts w:ascii="Times New Roman" w:hAnsi="Times New Roman" w:cs="Times New Roman"/>
          <w:sz w:val="28"/>
          <w:szCs w:val="28"/>
        </w:rPr>
        <w:t xml:space="preserve">- возраст карбон - </w:t>
      </w:r>
      <w:proofErr w:type="spellStart"/>
      <w:r w:rsidRPr="005127D9">
        <w:rPr>
          <w:rFonts w:ascii="Times New Roman" w:hAnsi="Times New Roman" w:cs="Times New Roman"/>
          <w:sz w:val="28"/>
          <w:szCs w:val="28"/>
        </w:rPr>
        <w:t>пермь</w:t>
      </w:r>
      <w:proofErr w:type="spellEnd"/>
      <w:r w:rsidRPr="005127D9">
        <w:rPr>
          <w:rFonts w:ascii="Times New Roman" w:hAnsi="Times New Roman" w:cs="Times New Roman"/>
          <w:sz w:val="28"/>
          <w:szCs w:val="28"/>
        </w:rPr>
        <w:t>, если объединяются части систем, то ставится знак «-» (</w:t>
      </w:r>
      <w:proofErr w:type="spellStart"/>
      <w:r w:rsidRPr="005127D9">
        <w:rPr>
          <w:rFonts w:ascii="Times New Roman" w:hAnsi="Times New Roman" w:cs="Times New Roman"/>
          <w:sz w:val="28"/>
          <w:szCs w:val="28"/>
        </w:rPr>
        <w:t>Jз</w:t>
      </w:r>
      <w:proofErr w:type="spellEnd"/>
      <w:r w:rsidRPr="005127D9">
        <w:rPr>
          <w:rFonts w:ascii="Times New Roman" w:hAnsi="Times New Roman" w:cs="Times New Roman"/>
          <w:sz w:val="28"/>
          <w:szCs w:val="28"/>
        </w:rPr>
        <w:t>-К). Индексация интрузивных и эффузивных пород по вещественному составу производится с помощью прописных и строчных букв греческого алфавита: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31"/>
        <w:gridCol w:w="4331"/>
      </w:tblGrid>
      <w:tr w:rsidR="005127D9" w:rsidTr="005127D9">
        <w:tblPrEx>
          <w:tblCellMar>
            <w:top w:w="0" w:type="dxa"/>
            <w:bottom w:w="0" w:type="dxa"/>
          </w:tblCellMar>
        </w:tblPrEx>
        <w:trPr>
          <w:trHeight w:val="127"/>
        </w:trPr>
        <w:tc>
          <w:tcPr>
            <w:tcW w:w="4331" w:type="dxa"/>
          </w:tcPr>
          <w:p w:rsidR="005127D9" w:rsidRDefault="005127D9">
            <w:pPr>
              <w:pStyle w:val="Default"/>
              <w:rPr>
                <w:sz w:val="28"/>
                <w:szCs w:val="28"/>
              </w:rPr>
            </w:pPr>
            <w:r>
              <w:rPr>
                <w:sz w:val="28"/>
                <w:szCs w:val="28"/>
              </w:rPr>
              <w:t xml:space="preserve">Интрузивные породы </w:t>
            </w:r>
          </w:p>
        </w:tc>
        <w:tc>
          <w:tcPr>
            <w:tcW w:w="4331" w:type="dxa"/>
          </w:tcPr>
          <w:p w:rsidR="005127D9" w:rsidRDefault="005127D9">
            <w:pPr>
              <w:pStyle w:val="Default"/>
              <w:rPr>
                <w:sz w:val="28"/>
                <w:szCs w:val="28"/>
              </w:rPr>
            </w:pPr>
            <w:r>
              <w:rPr>
                <w:sz w:val="28"/>
                <w:szCs w:val="28"/>
              </w:rPr>
              <w:t xml:space="preserve">Эффузивные породы </w:t>
            </w:r>
          </w:p>
        </w:tc>
      </w:tr>
      <w:tr w:rsidR="005127D9" w:rsidTr="005127D9">
        <w:tblPrEx>
          <w:tblCellMar>
            <w:top w:w="0" w:type="dxa"/>
            <w:bottom w:w="0" w:type="dxa"/>
          </w:tblCellMar>
        </w:tblPrEx>
        <w:trPr>
          <w:trHeight w:val="127"/>
        </w:trPr>
        <w:tc>
          <w:tcPr>
            <w:tcW w:w="4331" w:type="dxa"/>
          </w:tcPr>
          <w:p w:rsidR="005127D9" w:rsidRDefault="005127D9">
            <w:pPr>
              <w:pStyle w:val="Default"/>
              <w:rPr>
                <w:sz w:val="28"/>
                <w:szCs w:val="28"/>
              </w:rPr>
            </w:pPr>
            <w:r>
              <w:rPr>
                <w:sz w:val="28"/>
                <w:szCs w:val="28"/>
              </w:rPr>
              <w:t xml:space="preserve">Граниты (гамма) </w:t>
            </w:r>
          </w:p>
        </w:tc>
        <w:tc>
          <w:tcPr>
            <w:tcW w:w="4331" w:type="dxa"/>
          </w:tcPr>
          <w:p w:rsidR="005127D9" w:rsidRDefault="005127D9">
            <w:pPr>
              <w:pStyle w:val="Default"/>
              <w:rPr>
                <w:sz w:val="28"/>
                <w:szCs w:val="28"/>
              </w:rPr>
            </w:pPr>
            <w:proofErr w:type="spellStart"/>
            <w:r>
              <w:rPr>
                <w:sz w:val="28"/>
                <w:szCs w:val="28"/>
              </w:rPr>
              <w:t>риолиты</w:t>
            </w:r>
            <w:proofErr w:type="spellEnd"/>
            <w:r>
              <w:rPr>
                <w:sz w:val="28"/>
                <w:szCs w:val="28"/>
              </w:rPr>
              <w:t xml:space="preserve"> (лямбда) </w:t>
            </w:r>
          </w:p>
        </w:tc>
      </w:tr>
      <w:tr w:rsidR="005127D9" w:rsidTr="005127D9">
        <w:tblPrEx>
          <w:tblCellMar>
            <w:top w:w="0" w:type="dxa"/>
            <w:bottom w:w="0" w:type="dxa"/>
          </w:tblCellMar>
        </w:tblPrEx>
        <w:trPr>
          <w:trHeight w:val="127"/>
        </w:trPr>
        <w:tc>
          <w:tcPr>
            <w:tcW w:w="4331" w:type="dxa"/>
          </w:tcPr>
          <w:p w:rsidR="005127D9" w:rsidRDefault="005127D9">
            <w:pPr>
              <w:pStyle w:val="Default"/>
              <w:rPr>
                <w:sz w:val="28"/>
                <w:szCs w:val="28"/>
              </w:rPr>
            </w:pPr>
            <w:r>
              <w:rPr>
                <w:sz w:val="28"/>
                <w:szCs w:val="28"/>
              </w:rPr>
              <w:t xml:space="preserve">Диориты (дельта) </w:t>
            </w:r>
          </w:p>
        </w:tc>
        <w:tc>
          <w:tcPr>
            <w:tcW w:w="4331" w:type="dxa"/>
          </w:tcPr>
          <w:p w:rsidR="005127D9" w:rsidRDefault="005127D9">
            <w:pPr>
              <w:pStyle w:val="Default"/>
              <w:rPr>
                <w:sz w:val="28"/>
                <w:szCs w:val="28"/>
              </w:rPr>
            </w:pPr>
            <w:r>
              <w:rPr>
                <w:sz w:val="28"/>
                <w:szCs w:val="28"/>
              </w:rPr>
              <w:t xml:space="preserve">кварцевые порфиры (лямбда) </w:t>
            </w:r>
          </w:p>
        </w:tc>
      </w:tr>
      <w:tr w:rsidR="005127D9" w:rsidTr="005127D9">
        <w:tblPrEx>
          <w:tblCellMar>
            <w:top w:w="0" w:type="dxa"/>
            <w:bottom w:w="0" w:type="dxa"/>
          </w:tblCellMar>
        </w:tblPrEx>
        <w:trPr>
          <w:trHeight w:val="288"/>
        </w:trPr>
        <w:tc>
          <w:tcPr>
            <w:tcW w:w="4331" w:type="dxa"/>
          </w:tcPr>
          <w:p w:rsidR="005127D9" w:rsidRDefault="005127D9">
            <w:pPr>
              <w:pStyle w:val="Default"/>
              <w:rPr>
                <w:sz w:val="28"/>
                <w:szCs w:val="28"/>
              </w:rPr>
            </w:pPr>
            <w:r>
              <w:rPr>
                <w:sz w:val="28"/>
                <w:szCs w:val="28"/>
              </w:rPr>
              <w:t xml:space="preserve">Сиениты (кси) нефелиновые сиениты (эпсилон) </w:t>
            </w:r>
          </w:p>
        </w:tc>
        <w:tc>
          <w:tcPr>
            <w:tcW w:w="4331" w:type="dxa"/>
          </w:tcPr>
          <w:p w:rsidR="005127D9" w:rsidRDefault="005127D9">
            <w:pPr>
              <w:pStyle w:val="Default"/>
              <w:rPr>
                <w:sz w:val="28"/>
                <w:szCs w:val="28"/>
              </w:rPr>
            </w:pPr>
            <w:r>
              <w:rPr>
                <w:sz w:val="28"/>
                <w:szCs w:val="28"/>
              </w:rPr>
              <w:t xml:space="preserve">трахиты (тау) </w:t>
            </w:r>
          </w:p>
        </w:tc>
      </w:tr>
      <w:tr w:rsidR="005127D9" w:rsidTr="005127D9">
        <w:tblPrEx>
          <w:tblCellMar>
            <w:top w:w="0" w:type="dxa"/>
            <w:bottom w:w="0" w:type="dxa"/>
          </w:tblCellMar>
        </w:tblPrEx>
        <w:trPr>
          <w:trHeight w:val="127"/>
        </w:trPr>
        <w:tc>
          <w:tcPr>
            <w:tcW w:w="4331" w:type="dxa"/>
          </w:tcPr>
          <w:p w:rsidR="005127D9" w:rsidRDefault="005127D9">
            <w:pPr>
              <w:pStyle w:val="Default"/>
              <w:rPr>
                <w:sz w:val="28"/>
                <w:szCs w:val="28"/>
              </w:rPr>
            </w:pPr>
            <w:r>
              <w:rPr>
                <w:sz w:val="28"/>
                <w:szCs w:val="28"/>
              </w:rPr>
              <w:t xml:space="preserve">Габбро (ню) </w:t>
            </w:r>
          </w:p>
        </w:tc>
        <w:tc>
          <w:tcPr>
            <w:tcW w:w="4331" w:type="dxa"/>
          </w:tcPr>
          <w:p w:rsidR="005127D9" w:rsidRDefault="005127D9">
            <w:pPr>
              <w:pStyle w:val="Default"/>
              <w:rPr>
                <w:sz w:val="28"/>
                <w:szCs w:val="28"/>
              </w:rPr>
            </w:pPr>
            <w:r>
              <w:rPr>
                <w:sz w:val="28"/>
                <w:szCs w:val="28"/>
              </w:rPr>
              <w:t xml:space="preserve">андезиты (альфа) </w:t>
            </w:r>
          </w:p>
        </w:tc>
      </w:tr>
      <w:tr w:rsidR="005127D9" w:rsidTr="005127D9">
        <w:tblPrEx>
          <w:tblCellMar>
            <w:top w:w="0" w:type="dxa"/>
            <w:bottom w:w="0" w:type="dxa"/>
          </w:tblCellMar>
        </w:tblPrEx>
        <w:trPr>
          <w:trHeight w:val="289"/>
        </w:trPr>
        <w:tc>
          <w:tcPr>
            <w:tcW w:w="4331" w:type="dxa"/>
          </w:tcPr>
          <w:p w:rsidR="005127D9" w:rsidRDefault="005127D9">
            <w:pPr>
              <w:pStyle w:val="Default"/>
              <w:rPr>
                <w:sz w:val="28"/>
                <w:szCs w:val="28"/>
              </w:rPr>
            </w:pPr>
            <w:proofErr w:type="spellStart"/>
            <w:r>
              <w:rPr>
                <w:sz w:val="28"/>
                <w:szCs w:val="28"/>
              </w:rPr>
              <w:t>Пироксениты</w:t>
            </w:r>
            <w:proofErr w:type="spellEnd"/>
            <w:r>
              <w:rPr>
                <w:sz w:val="28"/>
                <w:szCs w:val="28"/>
              </w:rPr>
              <w:t xml:space="preserve">, перидотиты, дуниты (сигма) </w:t>
            </w:r>
          </w:p>
        </w:tc>
        <w:tc>
          <w:tcPr>
            <w:tcW w:w="4331" w:type="dxa"/>
          </w:tcPr>
          <w:p w:rsidR="005127D9" w:rsidRDefault="005127D9">
            <w:pPr>
              <w:pStyle w:val="Default"/>
              <w:rPr>
                <w:sz w:val="28"/>
                <w:szCs w:val="28"/>
              </w:rPr>
            </w:pPr>
            <w:proofErr w:type="gramStart"/>
            <w:r>
              <w:rPr>
                <w:sz w:val="28"/>
                <w:szCs w:val="28"/>
              </w:rPr>
              <w:t xml:space="preserve">базальты (бета </w:t>
            </w:r>
            <w:proofErr w:type="gramEnd"/>
          </w:p>
        </w:tc>
      </w:tr>
    </w:tbl>
    <w:p w:rsidR="00CD1A66" w:rsidRDefault="00CD1A66" w:rsidP="00CD1A66">
      <w:pPr>
        <w:spacing w:after="0" w:line="240" w:lineRule="auto"/>
        <w:ind w:firstLine="709"/>
        <w:jc w:val="both"/>
        <w:rPr>
          <w:rFonts w:ascii="Times New Roman" w:hAnsi="Times New Roman" w:cs="Times New Roman"/>
          <w:sz w:val="28"/>
          <w:szCs w:val="28"/>
        </w:rPr>
      </w:pPr>
      <w:r w:rsidRPr="00CD1A66">
        <w:rPr>
          <w:rFonts w:ascii="Times New Roman" w:hAnsi="Times New Roman" w:cs="Times New Roman"/>
          <w:i/>
          <w:iCs/>
          <w:sz w:val="28"/>
          <w:szCs w:val="28"/>
        </w:rPr>
        <w:lastRenderedPageBreak/>
        <w:t xml:space="preserve">Штриховые обозначения </w:t>
      </w:r>
      <w:r w:rsidRPr="00CD1A66">
        <w:rPr>
          <w:rFonts w:ascii="Times New Roman" w:hAnsi="Times New Roman" w:cs="Times New Roman"/>
          <w:sz w:val="28"/>
          <w:szCs w:val="28"/>
        </w:rPr>
        <w:t xml:space="preserve">применяются обычно на геологических картах и разрезах, выполненных в одном цвете. </w:t>
      </w:r>
      <w:r w:rsidRPr="00CD1A66">
        <w:rPr>
          <w:rFonts w:ascii="Times New Roman" w:hAnsi="Times New Roman" w:cs="Times New Roman"/>
          <w:i/>
          <w:iCs/>
          <w:sz w:val="28"/>
          <w:szCs w:val="28"/>
        </w:rPr>
        <w:t xml:space="preserve">Геологические границы </w:t>
      </w:r>
      <w:r w:rsidRPr="00CD1A66">
        <w:rPr>
          <w:rFonts w:ascii="Times New Roman" w:hAnsi="Times New Roman" w:cs="Times New Roman"/>
          <w:sz w:val="28"/>
          <w:szCs w:val="28"/>
        </w:rPr>
        <w:t>установленные по геологическим данным показываются черными сплошными тонкими линиями, предполагаемы</w:t>
      </w:r>
      <w:proofErr w:type="gramStart"/>
      <w:r w:rsidRPr="00CD1A66">
        <w:rPr>
          <w:rFonts w:ascii="Times New Roman" w:hAnsi="Times New Roman" w:cs="Times New Roman"/>
          <w:sz w:val="28"/>
          <w:szCs w:val="28"/>
        </w:rPr>
        <w:t>е-</w:t>
      </w:r>
      <w:proofErr w:type="gramEnd"/>
      <w:r w:rsidRPr="00CD1A66">
        <w:rPr>
          <w:rFonts w:ascii="Times New Roman" w:hAnsi="Times New Roman" w:cs="Times New Roman"/>
          <w:sz w:val="28"/>
          <w:szCs w:val="28"/>
        </w:rPr>
        <w:t xml:space="preserve"> пунктиром, фациальные границы- точечными линиями. </w:t>
      </w:r>
      <w:r w:rsidRPr="00CD1A66">
        <w:rPr>
          <w:rFonts w:ascii="Times New Roman" w:hAnsi="Times New Roman" w:cs="Times New Roman"/>
          <w:i/>
          <w:iCs/>
          <w:sz w:val="28"/>
          <w:szCs w:val="28"/>
        </w:rPr>
        <w:t xml:space="preserve">Дизъюнктивные нарушения </w:t>
      </w:r>
      <w:r w:rsidRPr="00CD1A66">
        <w:rPr>
          <w:rFonts w:ascii="Times New Roman" w:hAnsi="Times New Roman" w:cs="Times New Roman"/>
          <w:sz w:val="28"/>
          <w:szCs w:val="28"/>
        </w:rPr>
        <w:t>обозначаются красными сплошными линиям</w:t>
      </w:r>
      <w:proofErr w:type="gramStart"/>
      <w:r w:rsidRPr="00CD1A66">
        <w:rPr>
          <w:rFonts w:ascii="Times New Roman" w:hAnsi="Times New Roman" w:cs="Times New Roman"/>
          <w:sz w:val="28"/>
          <w:szCs w:val="28"/>
        </w:rPr>
        <w:t>и-</w:t>
      </w:r>
      <w:proofErr w:type="gramEnd"/>
      <w:r w:rsidRPr="00CD1A66">
        <w:rPr>
          <w:rFonts w:ascii="Times New Roman" w:hAnsi="Times New Roman" w:cs="Times New Roman"/>
          <w:sz w:val="28"/>
          <w:szCs w:val="28"/>
        </w:rPr>
        <w:t xml:space="preserve"> установленные или красными прерывистыми линиями -предполагаемые. </w:t>
      </w:r>
    </w:p>
    <w:p w:rsidR="00CD1A66" w:rsidRDefault="00CD1A66" w:rsidP="00CD1A66">
      <w:pPr>
        <w:spacing w:after="0" w:line="240" w:lineRule="auto"/>
        <w:ind w:firstLine="709"/>
        <w:jc w:val="both"/>
        <w:rPr>
          <w:rFonts w:ascii="Times New Roman" w:hAnsi="Times New Roman" w:cs="Times New Roman"/>
          <w:sz w:val="28"/>
          <w:szCs w:val="28"/>
        </w:rPr>
      </w:pPr>
    </w:p>
    <w:p w:rsidR="00CD1A66" w:rsidRDefault="00CD1A66" w:rsidP="00CD1A66">
      <w:pPr>
        <w:spacing w:after="0" w:line="240" w:lineRule="auto"/>
        <w:ind w:firstLine="709"/>
        <w:jc w:val="both"/>
        <w:rPr>
          <w:rFonts w:ascii="Times New Roman" w:hAnsi="Times New Roman" w:cs="Times New Roman"/>
          <w:sz w:val="28"/>
          <w:szCs w:val="28"/>
        </w:rPr>
      </w:pPr>
      <w:r w:rsidRPr="00CD1A66">
        <w:rPr>
          <w:rFonts w:ascii="Times New Roman" w:hAnsi="Times New Roman" w:cs="Times New Roman"/>
          <w:sz w:val="28"/>
          <w:szCs w:val="28"/>
        </w:rPr>
        <w:t>1.</w:t>
      </w:r>
      <w:r>
        <w:rPr>
          <w:rFonts w:ascii="Times New Roman" w:hAnsi="Times New Roman" w:cs="Times New Roman"/>
          <w:sz w:val="28"/>
          <w:szCs w:val="28"/>
        </w:rPr>
        <w:t>5</w:t>
      </w:r>
      <w:r w:rsidRPr="00CD1A66">
        <w:rPr>
          <w:rFonts w:ascii="Times New Roman" w:hAnsi="Times New Roman" w:cs="Times New Roman"/>
          <w:sz w:val="28"/>
          <w:szCs w:val="28"/>
        </w:rPr>
        <w:t>.</w:t>
      </w:r>
      <w:r>
        <w:rPr>
          <w:rFonts w:ascii="Times New Roman" w:hAnsi="Times New Roman" w:cs="Times New Roman"/>
          <w:sz w:val="28"/>
          <w:szCs w:val="28"/>
        </w:rPr>
        <w:t>3</w:t>
      </w:r>
      <w:r w:rsidRPr="00CD1A66">
        <w:rPr>
          <w:rFonts w:ascii="Times New Roman" w:hAnsi="Times New Roman" w:cs="Times New Roman"/>
          <w:sz w:val="28"/>
          <w:szCs w:val="28"/>
        </w:rPr>
        <w:t xml:space="preserve"> Задание для лабораторной работы</w:t>
      </w:r>
      <w:r>
        <w:rPr>
          <w:rFonts w:ascii="Times New Roman" w:hAnsi="Times New Roman" w:cs="Times New Roman"/>
          <w:sz w:val="28"/>
          <w:szCs w:val="28"/>
        </w:rPr>
        <w:t xml:space="preserve"> №5</w:t>
      </w:r>
      <w:r w:rsidRPr="00CD1A66">
        <w:rPr>
          <w:rFonts w:ascii="Times New Roman" w:hAnsi="Times New Roman" w:cs="Times New Roman"/>
          <w:sz w:val="28"/>
          <w:szCs w:val="28"/>
        </w:rPr>
        <w:t xml:space="preserve"> </w:t>
      </w:r>
    </w:p>
    <w:p w:rsidR="005127D9" w:rsidRPr="00CD1A66" w:rsidRDefault="00CD1A66" w:rsidP="00CD1A66">
      <w:pPr>
        <w:spacing w:after="0" w:line="240" w:lineRule="auto"/>
        <w:ind w:firstLine="709"/>
        <w:jc w:val="both"/>
        <w:rPr>
          <w:rFonts w:ascii="Times New Roman" w:hAnsi="Times New Roman" w:cs="Times New Roman"/>
          <w:sz w:val="28"/>
          <w:szCs w:val="28"/>
        </w:rPr>
      </w:pPr>
      <w:r w:rsidRPr="00CD1A66">
        <w:rPr>
          <w:rFonts w:ascii="Times New Roman" w:hAnsi="Times New Roman" w:cs="Times New Roman"/>
          <w:sz w:val="28"/>
          <w:szCs w:val="28"/>
        </w:rPr>
        <w:t>Изучить геологическую карту выданную преподавателем. Построить геологический разрез по определенной линии.</w:t>
      </w:r>
      <w:bookmarkStart w:id="0" w:name="_GoBack"/>
      <w:bookmarkEnd w:id="0"/>
    </w:p>
    <w:sectPr w:rsidR="005127D9" w:rsidRPr="00CD1A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22"/>
    <w:rsid w:val="001B7EBE"/>
    <w:rsid w:val="005127D9"/>
    <w:rsid w:val="00C11B22"/>
    <w:rsid w:val="00CD1A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127D9"/>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5127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127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127D9"/>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Balloon Text"/>
    <w:basedOn w:val="a"/>
    <w:link w:val="a4"/>
    <w:uiPriority w:val="99"/>
    <w:semiHidden/>
    <w:unhideWhenUsed/>
    <w:rsid w:val="005127D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127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Pages>
  <Words>1101</Words>
  <Characters>6281</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Romeo1994</Company>
  <LinksUpToDate>false</LinksUpToDate>
  <CharactersWithSpaces>7368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Зимановская</dc:creator>
  <cp:keywords/>
  <dc:description/>
  <cp:lastModifiedBy>Наталья Зимановская</cp:lastModifiedBy>
  <cp:revision>2</cp:revision>
  <dcterms:created xsi:type="dcterms:W3CDTF">2016-02-12T07:24:00Z</dcterms:created>
  <dcterms:modified xsi:type="dcterms:W3CDTF">2016-02-12T07:37:00Z</dcterms:modified>
</cp:coreProperties>
</file>